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FC38" w14:textId="77777777" w:rsidR="00943ED9" w:rsidRDefault="00000000">
      <w:pPr>
        <w:spacing w:after="0" w:line="240" w:lineRule="auto"/>
        <w:jc w:val="right"/>
        <w:rPr>
          <w:i/>
        </w:rPr>
      </w:pPr>
      <w:r>
        <w:rPr>
          <w:i/>
        </w:rPr>
        <w:t>Arbeitsblatt Gebäude- und erneuerbare Energie 4</w:t>
      </w:r>
    </w:p>
    <w:p w14:paraId="1660B7D4" w14:textId="77777777" w:rsidR="00943ED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Aufgabe 1</w:t>
      </w:r>
    </w:p>
    <w:p w14:paraId="1778FE6F" w14:textId="77777777" w:rsidR="00233835" w:rsidRDefault="00233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</w:rPr>
      </w:pPr>
    </w:p>
    <w:p w14:paraId="17C5A791" w14:textId="2C3FFB28" w:rsidR="00233835" w:rsidRDefault="00233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</w:rPr>
      </w:pPr>
      <w:r w:rsidRPr="00233835">
        <w:rPr>
          <w:bCs/>
        </w:rPr>
        <w:t>Recherchiere</w:t>
      </w:r>
      <w:r w:rsidR="00C02B2A">
        <w:rPr>
          <w:bCs/>
        </w:rPr>
        <w:t>,</w:t>
      </w:r>
      <w:r w:rsidRPr="00233835">
        <w:rPr>
          <w:bCs/>
        </w:rPr>
        <w:t xml:space="preserve"> </w:t>
      </w:r>
      <w:r w:rsidR="00C02B2A">
        <w:rPr>
          <w:bCs/>
        </w:rPr>
        <w:t xml:space="preserve">wie hoch der aktuelle Strompreis im Durchschnitt ist. </w:t>
      </w:r>
    </w:p>
    <w:p w14:paraId="14BA24D8" w14:textId="77777777" w:rsidR="00233835" w:rsidRDefault="00233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</w:rPr>
      </w:pPr>
    </w:p>
    <w:p w14:paraId="44242AAA" w14:textId="77777777" w:rsidR="00233835" w:rsidRPr="00233835" w:rsidRDefault="00233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</w:rPr>
      </w:pPr>
    </w:p>
    <w:p w14:paraId="3A859E70" w14:textId="77777777" w:rsidR="00233835" w:rsidRDefault="00233835" w:rsidP="00233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sz w:val="28"/>
          <w:szCs w:val="28"/>
        </w:rPr>
        <w:t>Aufgabe 2</w:t>
      </w:r>
    </w:p>
    <w:p w14:paraId="331C10FF" w14:textId="77777777" w:rsidR="00233835" w:rsidRDefault="00233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6C4C61A" w14:textId="173F5012" w:rsidR="00C5344E" w:rsidRDefault="00000000" w:rsidP="00C02B2A">
      <w:r>
        <w:t>Für die Schulküche soll ein neuer Kühlschrank angeschafft werden. Du wirst damit beauftragt zu berechnen, welcher Kühlschrank</w:t>
      </w:r>
      <w:r w:rsidR="00C02B2A">
        <w:t xml:space="preserve"> die geringsten Kosten verursacht</w:t>
      </w:r>
      <w:r>
        <w:t xml:space="preserve">. Dabei sollst du aber nicht nur den Kaufpreis berücksichtigen, sondern auch die Stromkosten. </w:t>
      </w:r>
      <w:r w:rsidR="00C5344E">
        <w:t>Verwende hierzu den aktuellen Strompreis (Aufgabe1)</w:t>
      </w:r>
      <w:r w:rsidR="001C34A5">
        <w:t>.</w:t>
      </w:r>
    </w:p>
    <w:p w14:paraId="55F0A784" w14:textId="77777777" w:rsidR="00943ED9" w:rsidRDefault="00000000" w:rsidP="00C5344E">
      <w:r>
        <w:t>Der Händler sagt dir außerdem, dass Kühlschränke in der Regel eine Lebensdauer von 14 Jahren haben.</w:t>
      </w:r>
    </w:p>
    <w:p w14:paraId="0C574527" w14:textId="77777777" w:rsidR="00943ED9" w:rsidRDefault="00000000">
      <w:r>
        <w:t>Zur Wahl stehen die folgenden Geräte:</w:t>
      </w:r>
    </w:p>
    <w:tbl>
      <w:tblPr>
        <w:tblStyle w:val="a4"/>
        <w:tblW w:w="9656" w:type="dxa"/>
        <w:tblInd w:w="0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7"/>
        <w:gridCol w:w="2377"/>
        <w:gridCol w:w="2567"/>
        <w:gridCol w:w="2365"/>
      </w:tblGrid>
      <w:tr w:rsidR="00943ED9" w14:paraId="6C4CC8DC" w14:textId="77777777">
        <w:trPr>
          <w:trHeight w:val="1125"/>
        </w:trPr>
        <w:tc>
          <w:tcPr>
            <w:tcW w:w="2347" w:type="dxa"/>
          </w:tcPr>
          <w:p w14:paraId="0B04A69D" w14:textId="77777777" w:rsidR="00943ED9" w:rsidRDefault="00943ED9"/>
        </w:tc>
        <w:tc>
          <w:tcPr>
            <w:tcW w:w="2377" w:type="dxa"/>
          </w:tcPr>
          <w:p w14:paraId="4C78866A" w14:textId="77777777" w:rsidR="00943ED9" w:rsidRDefault="00943ED9">
            <w:pPr>
              <w:rPr>
                <w:b/>
              </w:rPr>
            </w:pPr>
          </w:p>
          <w:p w14:paraId="46C95EE2" w14:textId="77777777" w:rsidR="00943ED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Volumen</w:t>
            </w:r>
          </w:p>
        </w:tc>
        <w:tc>
          <w:tcPr>
            <w:tcW w:w="2567" w:type="dxa"/>
          </w:tcPr>
          <w:p w14:paraId="3649DDCB" w14:textId="77777777" w:rsidR="00943ED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Angabe zum Energieverbrauch auf dem Energielabel </w:t>
            </w:r>
          </w:p>
          <w:p w14:paraId="4ACE787B" w14:textId="77777777" w:rsidR="00943ED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(pro Jahr)</w:t>
            </w:r>
          </w:p>
        </w:tc>
        <w:tc>
          <w:tcPr>
            <w:tcW w:w="2365" w:type="dxa"/>
          </w:tcPr>
          <w:p w14:paraId="6DF0E850" w14:textId="77777777" w:rsidR="00943ED9" w:rsidRDefault="00943ED9">
            <w:pPr>
              <w:rPr>
                <w:b/>
              </w:rPr>
            </w:pPr>
          </w:p>
          <w:p w14:paraId="4E0D38E7" w14:textId="77777777" w:rsidR="00943ED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Kaufpreis</w:t>
            </w:r>
          </w:p>
        </w:tc>
      </w:tr>
      <w:tr w:rsidR="00943ED9" w14:paraId="52651EF3" w14:textId="77777777">
        <w:trPr>
          <w:trHeight w:val="981"/>
        </w:trPr>
        <w:tc>
          <w:tcPr>
            <w:tcW w:w="2347" w:type="dxa"/>
          </w:tcPr>
          <w:p w14:paraId="58C2A30C" w14:textId="77777777" w:rsidR="00943ED9" w:rsidRDefault="00943ED9">
            <w:pPr>
              <w:jc w:val="center"/>
              <w:rPr>
                <w:b/>
              </w:rPr>
            </w:pPr>
          </w:p>
          <w:p w14:paraId="3DF5D867" w14:textId="77777777" w:rsidR="00943ED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Kühlschrank 1</w:t>
            </w:r>
          </w:p>
        </w:tc>
        <w:tc>
          <w:tcPr>
            <w:tcW w:w="2377" w:type="dxa"/>
          </w:tcPr>
          <w:p w14:paraId="1B7BC77B" w14:textId="77777777" w:rsidR="00943ED9" w:rsidRDefault="00943ED9">
            <w:pPr>
              <w:jc w:val="center"/>
            </w:pPr>
          </w:p>
          <w:p w14:paraId="76A067E9" w14:textId="77777777" w:rsidR="00943ED9" w:rsidRDefault="00000000">
            <w:pPr>
              <w:jc w:val="center"/>
            </w:pPr>
            <w:r>
              <w:t>350 Liter</w:t>
            </w:r>
          </w:p>
        </w:tc>
        <w:tc>
          <w:tcPr>
            <w:tcW w:w="2567" w:type="dxa"/>
          </w:tcPr>
          <w:p w14:paraId="02BF58A0" w14:textId="77777777" w:rsidR="00943ED9" w:rsidRDefault="00943ED9"/>
          <w:p w14:paraId="01B792B9" w14:textId="77777777" w:rsidR="00943ED9" w:rsidRDefault="00000000">
            <w:pPr>
              <w:jc w:val="center"/>
            </w:pPr>
            <w:r>
              <w:t>70 Kilowattstunden (kWh)</w:t>
            </w:r>
          </w:p>
        </w:tc>
        <w:tc>
          <w:tcPr>
            <w:tcW w:w="2365" w:type="dxa"/>
          </w:tcPr>
          <w:p w14:paraId="7A847735" w14:textId="77777777" w:rsidR="00943ED9" w:rsidRDefault="00943ED9"/>
          <w:p w14:paraId="46DE1F57" w14:textId="77777777" w:rsidR="00943ED9" w:rsidRDefault="00000000">
            <w:pPr>
              <w:jc w:val="center"/>
            </w:pPr>
            <w:r>
              <w:t>900 Euro</w:t>
            </w:r>
          </w:p>
        </w:tc>
      </w:tr>
      <w:tr w:rsidR="00943ED9" w14:paraId="54DFEADF" w14:textId="77777777">
        <w:trPr>
          <w:trHeight w:val="937"/>
        </w:trPr>
        <w:tc>
          <w:tcPr>
            <w:tcW w:w="2347" w:type="dxa"/>
          </w:tcPr>
          <w:p w14:paraId="0C614206" w14:textId="77777777" w:rsidR="00943ED9" w:rsidRDefault="00943ED9">
            <w:pPr>
              <w:rPr>
                <w:b/>
              </w:rPr>
            </w:pPr>
          </w:p>
          <w:p w14:paraId="0A2E8952" w14:textId="77777777" w:rsidR="00943ED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Kühlschrank 2</w:t>
            </w:r>
          </w:p>
        </w:tc>
        <w:tc>
          <w:tcPr>
            <w:tcW w:w="2377" w:type="dxa"/>
          </w:tcPr>
          <w:p w14:paraId="3656B78D" w14:textId="77777777" w:rsidR="00943ED9" w:rsidRDefault="00943ED9"/>
          <w:p w14:paraId="37CC6EDF" w14:textId="77777777" w:rsidR="00943ED9" w:rsidRDefault="00000000">
            <w:pPr>
              <w:jc w:val="center"/>
            </w:pPr>
            <w:r>
              <w:t>350 Liter</w:t>
            </w:r>
          </w:p>
        </w:tc>
        <w:tc>
          <w:tcPr>
            <w:tcW w:w="2567" w:type="dxa"/>
          </w:tcPr>
          <w:p w14:paraId="38C621E6" w14:textId="77777777" w:rsidR="00943ED9" w:rsidRDefault="00943ED9"/>
          <w:p w14:paraId="240F59EF" w14:textId="77777777" w:rsidR="00943ED9" w:rsidRDefault="00000000">
            <w:pPr>
              <w:jc w:val="center"/>
            </w:pPr>
            <w:r>
              <w:t>150 Kilowattstunden (kWh)</w:t>
            </w:r>
          </w:p>
        </w:tc>
        <w:tc>
          <w:tcPr>
            <w:tcW w:w="2365" w:type="dxa"/>
          </w:tcPr>
          <w:p w14:paraId="7BF9F672" w14:textId="77777777" w:rsidR="00943ED9" w:rsidRDefault="00943ED9"/>
          <w:p w14:paraId="3F705E56" w14:textId="77777777" w:rsidR="00943ED9" w:rsidRDefault="00000000">
            <w:pPr>
              <w:jc w:val="center"/>
            </w:pPr>
            <w:r>
              <w:t>700 Euro</w:t>
            </w:r>
          </w:p>
        </w:tc>
      </w:tr>
    </w:tbl>
    <w:p w14:paraId="2D4260DA" w14:textId="77777777" w:rsidR="00943ED9" w:rsidRDefault="00943ED9"/>
    <w:p w14:paraId="668A5DFD" w14:textId="77777777" w:rsidR="00943ED9" w:rsidRDefault="00000000">
      <w:r>
        <w:t>Vergleiche die Gesamtkosten der beiden Geräte. Betrachte dabei sowohl den Kaufpreis als auch die Stromkosten über 14 Jahre. Welches Gerät sollte die Schulküche anschaffen?</w:t>
      </w:r>
    </w:p>
    <w:p w14:paraId="6544A819" w14:textId="77777777" w:rsidR="00943ED9" w:rsidRDefault="00943E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5F1A439" w14:textId="77777777" w:rsidR="00943ED9" w:rsidRDefault="00943E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7235C9B7" w14:textId="77777777" w:rsidR="00943ED9" w:rsidRDefault="00943E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</w:rPr>
      </w:pPr>
    </w:p>
    <w:sectPr w:rsidR="00943ED9">
      <w:headerReference w:type="default" r:id="rId8"/>
      <w:pgSz w:w="11906" w:h="16838"/>
      <w:pgMar w:top="425" w:right="849" w:bottom="1134" w:left="1417" w:header="99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01C3A" w14:textId="77777777" w:rsidR="00081D34" w:rsidRDefault="00081D34">
      <w:pPr>
        <w:spacing w:after="0" w:line="240" w:lineRule="auto"/>
      </w:pPr>
      <w:r>
        <w:separator/>
      </w:r>
    </w:p>
  </w:endnote>
  <w:endnote w:type="continuationSeparator" w:id="0">
    <w:p w14:paraId="7330326D" w14:textId="77777777" w:rsidR="00081D34" w:rsidRDefault="0008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A5DA" w14:textId="77777777" w:rsidR="00081D34" w:rsidRDefault="00081D34">
      <w:pPr>
        <w:spacing w:after="0" w:line="240" w:lineRule="auto"/>
      </w:pPr>
      <w:r>
        <w:separator/>
      </w:r>
    </w:p>
  </w:footnote>
  <w:footnote w:type="continuationSeparator" w:id="0">
    <w:p w14:paraId="4121154D" w14:textId="77777777" w:rsidR="00081D34" w:rsidRDefault="0008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B2B7" w14:textId="77777777" w:rsidR="00943ED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8FA4C7" wp14:editId="03051748">
          <wp:simplePos x="0" y="0"/>
          <wp:positionH relativeFrom="page">
            <wp:posOffset>5052695</wp:posOffset>
          </wp:positionH>
          <wp:positionV relativeFrom="page">
            <wp:posOffset>191870</wp:posOffset>
          </wp:positionV>
          <wp:extent cx="946150" cy="275845"/>
          <wp:effectExtent l="0" t="0" r="0" b="381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21344" b="46510"/>
                  <a:stretch>
                    <a:fillRect/>
                  </a:stretch>
                </pic:blipFill>
                <pic:spPr>
                  <a:xfrm>
                    <a:off x="0" y="0"/>
                    <a:ext cx="946150" cy="275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D853585" wp14:editId="4A62F12E">
          <wp:simplePos x="0" y="0"/>
          <wp:positionH relativeFrom="column">
            <wp:posOffset>8</wp:posOffset>
          </wp:positionH>
          <wp:positionV relativeFrom="paragraph">
            <wp:posOffset>-496561</wp:posOffset>
          </wp:positionV>
          <wp:extent cx="1809750" cy="329146"/>
          <wp:effectExtent l="0" t="0" r="0" b="0"/>
          <wp:wrapNone/>
          <wp:docPr id="4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0" cy="3291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0CB3E96" wp14:editId="202CE845">
          <wp:simplePos x="0" y="0"/>
          <wp:positionH relativeFrom="column">
            <wp:posOffset>5257800</wp:posOffset>
          </wp:positionH>
          <wp:positionV relativeFrom="paragraph">
            <wp:posOffset>-496561</wp:posOffset>
          </wp:positionV>
          <wp:extent cx="662375" cy="381000"/>
          <wp:effectExtent l="0" t="0" r="0" b="0"/>
          <wp:wrapNone/>
          <wp:docPr id="4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37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E20096B" w14:textId="77777777" w:rsidR="00943ED9" w:rsidRDefault="00943E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2166"/>
    <w:multiLevelType w:val="multilevel"/>
    <w:tmpl w:val="1EC82150"/>
    <w:lvl w:ilvl="0">
      <w:start w:val="1"/>
      <w:numFmt w:val="decimal"/>
      <w:pStyle w:val="NotizEbene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otizEbene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7261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D9"/>
    <w:rsid w:val="00081D34"/>
    <w:rsid w:val="001B4F1E"/>
    <w:rsid w:val="001C34A5"/>
    <w:rsid w:val="00233835"/>
    <w:rsid w:val="00943ED9"/>
    <w:rsid w:val="00C02B2A"/>
    <w:rsid w:val="00C5344E"/>
    <w:rsid w:val="00D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D0AA46"/>
  <w15:docId w15:val="{232BD693-7186-4446-A6AE-D8EC7F75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1">
    <w:name w:val="Standard1"/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2">
    <w:name w:val="Standard2"/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4E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6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7D8D"/>
  </w:style>
  <w:style w:type="paragraph" w:styleId="Fuzeile">
    <w:name w:val="footer"/>
    <w:basedOn w:val="Standard"/>
    <w:link w:val="FuzeileZchn"/>
    <w:uiPriority w:val="99"/>
    <w:unhideWhenUsed/>
    <w:rsid w:val="0046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7D8D"/>
  </w:style>
  <w:style w:type="paragraph" w:customStyle="1" w:styleId="NotizEbene21">
    <w:name w:val="Notiz Ebene 21"/>
    <w:basedOn w:val="Standard"/>
    <w:uiPriority w:val="99"/>
    <w:rsid w:val="00D370AB"/>
    <w:pPr>
      <w:keepNext/>
      <w:numPr>
        <w:ilvl w:val="1"/>
        <w:numId w:val="1"/>
      </w:numPr>
      <w:spacing w:after="0"/>
      <w:contextualSpacing/>
      <w:outlineLvl w:val="1"/>
    </w:pPr>
    <w:rPr>
      <w:rFonts w:ascii="Verdana" w:hAnsi="Verdana"/>
    </w:rPr>
  </w:style>
  <w:style w:type="paragraph" w:customStyle="1" w:styleId="NotizEbene11">
    <w:name w:val="Notiz Ebene 11"/>
    <w:basedOn w:val="Standard"/>
    <w:uiPriority w:val="99"/>
    <w:rsid w:val="00D370AB"/>
    <w:pPr>
      <w:keepNext/>
      <w:numPr>
        <w:numId w:val="1"/>
      </w:numPr>
      <w:spacing w:after="0"/>
      <w:contextualSpacing/>
      <w:outlineLvl w:val="0"/>
    </w:pPr>
    <w:rPr>
      <w:rFonts w:ascii="Verdana" w:hAnsi="Verdana"/>
    </w:rPr>
  </w:style>
  <w:style w:type="table" w:styleId="Tabellenraster">
    <w:name w:val="Table Grid"/>
    <w:basedOn w:val="NormaleTabelle"/>
    <w:uiPriority w:val="39"/>
    <w:rsid w:val="005B6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6">
    <w:name w:val="Light List Accent 6"/>
    <w:basedOn w:val="NormaleTabelle"/>
    <w:uiPriority w:val="61"/>
    <w:rsid w:val="00823AD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701D27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701D27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01D27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1D27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1D2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E16B7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8E16B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11266"/>
    <w:pPr>
      <w:ind w:left="720"/>
      <w:contextualSpacing/>
    </w:pPr>
  </w:style>
  <w:style w:type="paragraph" w:styleId="Untertitel">
    <w:name w:val="Subtitle"/>
    <w:basedOn w:val="Standard"/>
    <w:next w:val="Stand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BesuchterLink">
    <w:name w:val="FollowedHyperlink"/>
    <w:basedOn w:val="Absatz-Standardschriftart"/>
    <w:uiPriority w:val="99"/>
    <w:semiHidden/>
    <w:unhideWhenUsed/>
    <w:rsid w:val="00652992"/>
    <w:rPr>
      <w:color w:val="954F72" w:themeColor="followedHyperlink"/>
      <w:u w:val="single"/>
    </w:r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evnMEhbh4bct2Z99UBsvMvxNTQ==">AMUW2mUEy+iFylpfCJSk61ng4VjA9pZyrKm8bjOPwpqmU05+ce3tNrHv+FYm4zSHyw1+9Xkq8Xrr/2UCrSCdBmcOhBOESHhcIP4SMbIlQJ9NX1kvLqpyjdQ=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Wuppertal Institut für Klima, Umwelt, Energie gGmbH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Sebastian Albert-Seifried</dc:creator>
  <cp:lastModifiedBy>Lena Tholen</cp:lastModifiedBy>
  <cp:revision>4</cp:revision>
  <dcterms:created xsi:type="dcterms:W3CDTF">2021-05-18T15:01:00Z</dcterms:created>
  <dcterms:modified xsi:type="dcterms:W3CDTF">2022-11-08T08:50:00Z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0x010100601DFF165D3F084980F3FAC23124C36A</vt:lpwstr>
  </property>
</Properties>
</file>